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95" w:rsidRPr="00B41F95" w:rsidRDefault="00B41F95" w:rsidP="00B41F95">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B41F95">
        <w:rPr>
          <w:rFonts w:ascii="Georgia" w:hAnsi="Georgia" w:cs="Arial"/>
          <w:b w:val="0"/>
          <w:bCs w:val="0"/>
          <w:color w:val="B92517"/>
          <w:spacing w:val="-5"/>
          <w:sz w:val="58"/>
          <w:szCs w:val="58"/>
          <w:lang w:val="es-ES"/>
        </w:rPr>
        <w:t>C140 - Convenio sobre la licencia pagada de estudios, 1974 (núm. 140)</w:t>
      </w:r>
    </w:p>
    <w:p w:rsidR="00B41F95" w:rsidRPr="00B41F95" w:rsidRDefault="00B41F95" w:rsidP="00B41F95">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B41F95">
        <w:rPr>
          <w:rFonts w:ascii="Arial" w:hAnsi="Arial" w:cs="Arial"/>
          <w:b w:val="0"/>
          <w:bCs w:val="0"/>
          <w:i/>
          <w:iCs/>
          <w:color w:val="333333"/>
          <w:sz w:val="41"/>
          <w:szCs w:val="41"/>
          <w:lang w:val="es-ES"/>
        </w:rPr>
        <w:t>Convenio relativo a la licencia pagada de estudios (Entrada en vigor: 23 septiembre 1976)</w:t>
      </w:r>
      <w:r w:rsidRPr="00B41F95">
        <w:rPr>
          <w:rStyle w:val="secondline"/>
          <w:rFonts w:ascii="Arial" w:hAnsi="Arial" w:cs="Arial"/>
          <w:b w:val="0"/>
          <w:bCs w:val="0"/>
          <w:i/>
          <w:iCs/>
          <w:color w:val="333333"/>
          <w:sz w:val="33"/>
          <w:szCs w:val="33"/>
          <w:lang w:val="es-ES"/>
        </w:rPr>
        <w:t>Adopción: Ginebra, 59ª reunión CIT (24 junio 1974) - Estatus: Instrumento actualizado (Convenios Técnicos).</w:t>
      </w:r>
    </w:p>
    <w:p w:rsidR="00B41F95" w:rsidRPr="00B41F95" w:rsidRDefault="00B41F95" w:rsidP="00B41F95">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B41F95">
        <w:rPr>
          <w:rFonts w:ascii="Georgia" w:hAnsi="Georgia" w:cs="Arial"/>
          <w:color w:val="B92517"/>
          <w:sz w:val="23"/>
          <w:szCs w:val="23"/>
          <w:lang w:val="es-ES"/>
        </w:rPr>
        <w:t>Preámbulo</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 Conferencia General de la Organización Internacional del Trabajo:</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Convocada en Ginebra por el Consejo de Administración de la Oficina Internacional del Trabajo, y congregada en dicha ciudad el 5 junio 1974 en su quincuagésima novena reunión;</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Tomando nota de que el artículo 26 de la Declaración Universal de Derechos Humanos proclama que toda persona tiene derecho a la educación;</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Tomando nota además de las disposiciones existentes en las actuales recomendaciones internacionales del trabajo en materia de formación profesional y de protección de los representantes de los trabajadores, que prevén licencias temporales para los trabajadores o la concesión a éstos de tiempo libre para que participen en programas de educación o de formación;</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Considerando que la necesidad de educación y formación permanentes en relación con el desarrollo científico y técnico y la transformación constante del sistema de relaciones económicas y sociales exigen una regulación adecuada de la licencia con fines de educación y de formación, con el propósito de que responda a los nuevos objetivos, aspiraciones y necesidades de carácter social, económico, tecnológico y cultural;</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Reconociendo que la licencia pagada de estudios debería considerarse como un medio que permita responder a las necesidades reales de cada trabajador en la sociedad contemporánea;</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Considerando que la licencia pagada de estudios debería concebirse en función de una política de educación y de formación permanentes, cuya aplicación debería llevarse a cabo de manera progresiva y eficaz;</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lastRenderedPageBreak/>
        <w:t>Después de haber decidido adoptar diversas proposiciones relativas a la licencia pagada de estudios, cuestión que constituye el cuarto punto de su orden del día, y</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Después de haber decidido que dichas proposiciones revistan la forma de un convenio internacional,</w:t>
      </w:r>
    </w:p>
    <w:p w:rsidR="00B41F95" w:rsidRPr="00B41F95" w:rsidRDefault="00B41F95" w:rsidP="00B41F95">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adopta, con fecha veinticuatro de junio de mil novecientos setenta y cuatro, el presente Convenio, que podrá ser citado como el Convenio sobre la licencia pagada de estudios, 1974:</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B41F95">
        <w:rPr>
          <w:rFonts w:ascii="Georgia" w:hAnsi="Georgia" w:cs="Arial"/>
          <w:i/>
          <w:iCs/>
          <w:color w:val="333333"/>
          <w:sz w:val="21"/>
          <w:szCs w:val="21"/>
          <w:lang w:val="es-ES"/>
        </w:rPr>
        <w:t>Artículo 1</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A los efectos del presente Convenio, la expresión</w:t>
      </w:r>
      <w:r w:rsidRPr="00B41F95">
        <w:rPr>
          <w:rStyle w:val="apple-converted-space"/>
          <w:rFonts w:ascii="Georgia" w:hAnsi="Georgia" w:cs="Arial"/>
          <w:color w:val="333333"/>
          <w:sz w:val="18"/>
          <w:szCs w:val="18"/>
          <w:lang w:val="es-ES"/>
        </w:rPr>
        <w:t> </w:t>
      </w:r>
      <w:r w:rsidRPr="00B41F95">
        <w:rPr>
          <w:rFonts w:ascii="Georgia" w:hAnsi="Georgia" w:cs="Arial"/>
          <w:b/>
          <w:bCs/>
          <w:i/>
          <w:iCs/>
          <w:color w:val="333333"/>
          <w:sz w:val="18"/>
          <w:szCs w:val="18"/>
          <w:lang w:val="es-ES"/>
        </w:rPr>
        <w:t>licencia pagada de estudios</w:t>
      </w:r>
      <w:r w:rsidRPr="00B41F95">
        <w:rPr>
          <w:rStyle w:val="apple-converted-space"/>
          <w:rFonts w:ascii="Georgia" w:hAnsi="Georgia" w:cs="Arial"/>
          <w:color w:val="333333"/>
          <w:sz w:val="18"/>
          <w:szCs w:val="18"/>
          <w:lang w:val="es-ES"/>
        </w:rPr>
        <w:t> </w:t>
      </w:r>
      <w:r w:rsidRPr="00B41F95">
        <w:rPr>
          <w:rFonts w:ascii="Georgia" w:hAnsi="Georgia" w:cs="Arial"/>
          <w:color w:val="333333"/>
          <w:sz w:val="18"/>
          <w:szCs w:val="18"/>
          <w:lang w:val="es-ES"/>
        </w:rPr>
        <w:t>significa una licencia concedida a los trabajadores, con fines educativos, por un período determinado, durante las horas de trabajo y con pago de prestaciones económicas adecuadas.</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 w:name="A2"/>
      <w:bookmarkEnd w:id="1"/>
      <w:r w:rsidRPr="00B41F95">
        <w:rPr>
          <w:rFonts w:ascii="Georgia" w:hAnsi="Georgia" w:cs="Arial"/>
          <w:i/>
          <w:iCs/>
          <w:color w:val="333333"/>
          <w:sz w:val="21"/>
          <w:szCs w:val="21"/>
          <w:lang w:val="es-ES"/>
        </w:rPr>
        <w:t>Artículo 2</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Cada Miembro deberá formular y llevar a cabo una política para fomentar, según métodos apropiados a las condiciones y prácticas nacionales, y de ser necesario por etapas, la concesión de licencia pagada de estudios con fines:</w:t>
      </w:r>
    </w:p>
    <w:p w:rsidR="00B41F95" w:rsidRPr="00B41F95" w:rsidRDefault="00B41F95" w:rsidP="00B41F95">
      <w:pPr>
        <w:numPr>
          <w:ilvl w:val="0"/>
          <w:numId w:val="28"/>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(a) de formación profesional a todos los niveles;</w:t>
      </w:r>
    </w:p>
    <w:p w:rsidR="00B41F95" w:rsidRPr="00B41F95" w:rsidRDefault="00B41F95" w:rsidP="00B41F95">
      <w:pPr>
        <w:numPr>
          <w:ilvl w:val="0"/>
          <w:numId w:val="28"/>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(b) de educación general, social o cívica;</w:t>
      </w:r>
    </w:p>
    <w:p w:rsidR="00B41F95" w:rsidRDefault="00B41F95" w:rsidP="00B41F95">
      <w:pPr>
        <w:numPr>
          <w:ilvl w:val="0"/>
          <w:numId w:val="28"/>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(c) de educación sindical.</w:t>
      </w:r>
    </w:p>
    <w:p w:rsid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 w:name="A3"/>
      <w:bookmarkEnd w:id="2"/>
      <w:r>
        <w:rPr>
          <w:rFonts w:ascii="Georgia" w:hAnsi="Georgia" w:cs="Arial"/>
          <w:i/>
          <w:iCs/>
          <w:color w:val="333333"/>
          <w:sz w:val="21"/>
          <w:szCs w:val="21"/>
        </w:rPr>
        <w:t>Artículo 3</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 política a que se refiere el artículo anterior deberá tener por objeto contribuir, según modalidades diferentes si fuere preciso:</w:t>
      </w:r>
    </w:p>
    <w:p w:rsidR="00B41F95" w:rsidRPr="00B41F95" w:rsidRDefault="00B41F95" w:rsidP="00B41F95">
      <w:pPr>
        <w:numPr>
          <w:ilvl w:val="0"/>
          <w:numId w:val="29"/>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(a) a la adquisición, desarrollo y adaptación de las calificaciones profesionales y funcionales y al fomento del empleo y de la seguridad en el empleo en condiciones de desarrollo científico y técnico y de cambio económico y estructural;</w:t>
      </w:r>
    </w:p>
    <w:p w:rsidR="00B41F95" w:rsidRPr="00B41F95" w:rsidRDefault="00B41F95" w:rsidP="00B41F95">
      <w:pPr>
        <w:numPr>
          <w:ilvl w:val="0"/>
          <w:numId w:val="29"/>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(b) a la participación activa y competente de los trabajadores y de sus representantes en la vida de la empresa y de la comunidad;</w:t>
      </w:r>
    </w:p>
    <w:p w:rsidR="00B41F95" w:rsidRPr="00B41F95" w:rsidRDefault="00B41F95" w:rsidP="00B41F95">
      <w:pPr>
        <w:numPr>
          <w:ilvl w:val="0"/>
          <w:numId w:val="29"/>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(c) a la promoción humana, social y cultural de los trabajadores; y</w:t>
      </w:r>
    </w:p>
    <w:p w:rsidR="00B41F95" w:rsidRPr="00B41F95" w:rsidRDefault="00B41F95" w:rsidP="00B41F95">
      <w:pPr>
        <w:numPr>
          <w:ilvl w:val="0"/>
          <w:numId w:val="29"/>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lastRenderedPageBreak/>
        <w:t>(d) de manera general, a favorecer una educación y una formación permanentes y apropiadas que faciliten la adaptación de los trabajadores a las exigencias de la vida actual.</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4"/>
      <w:bookmarkEnd w:id="3"/>
      <w:r w:rsidRPr="00B41F95">
        <w:rPr>
          <w:rFonts w:ascii="Georgia" w:hAnsi="Georgia" w:cs="Arial"/>
          <w:i/>
          <w:iCs/>
          <w:color w:val="333333"/>
          <w:sz w:val="21"/>
          <w:szCs w:val="21"/>
          <w:lang w:val="es-ES"/>
        </w:rPr>
        <w:t>Artículo 4</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Esta política deberá tener en cuenta el grado de desarrollo y las necesidades particulares del país y de los diferentes sectores de actividad y deberá coordinarse con las políticas generales en materia de empleo, educación y formación profesional y con las relativas a la duración del trabajo, y tomar en consideración, en los casos apropiados, las variaciones estacionales en la duración o en el volumen del trabajo.</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 w:name="A5"/>
      <w:bookmarkEnd w:id="4"/>
      <w:r w:rsidRPr="00B41F95">
        <w:rPr>
          <w:rFonts w:ascii="Georgia" w:hAnsi="Georgia" w:cs="Arial"/>
          <w:i/>
          <w:iCs/>
          <w:color w:val="333333"/>
          <w:sz w:val="21"/>
          <w:szCs w:val="21"/>
          <w:lang w:val="es-ES"/>
        </w:rPr>
        <w:t>Artículo 5</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 concesión de la licencia pagada de estudios podrá ponerse en práctica mediante la legislación nacional, los contratos colectivos, los laudos arbitrales, o de cualquier otro modo compatible con la práctica nacional.</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 w:name="A6"/>
      <w:bookmarkEnd w:id="5"/>
      <w:r w:rsidRPr="00B41F95">
        <w:rPr>
          <w:rFonts w:ascii="Georgia" w:hAnsi="Georgia" w:cs="Arial"/>
          <w:i/>
          <w:iCs/>
          <w:color w:val="333333"/>
          <w:sz w:val="21"/>
          <w:szCs w:val="21"/>
          <w:lang w:val="es-ES"/>
        </w:rPr>
        <w:t>Artículo 6</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Las autoridades públicas, las organizaciones de empleadores y de trabajadores y las instituciones u organismos dedicados a la educación o a la formación deberán aunar sus esfuerzos, según modalidades adecuadas a las condiciones y prácticas nacionales, para la elaboración y puesta en práctica de la política destinada a fomentar la licencia pagada de estudios.</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7"/>
      <w:bookmarkEnd w:id="6"/>
      <w:r w:rsidRPr="00B41F95">
        <w:rPr>
          <w:rFonts w:ascii="Georgia" w:hAnsi="Georgia" w:cs="Arial"/>
          <w:i/>
          <w:iCs/>
          <w:color w:val="333333"/>
          <w:sz w:val="21"/>
          <w:szCs w:val="21"/>
          <w:lang w:val="es-ES"/>
        </w:rPr>
        <w:t>Artículo 7</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 financiación de los sistemas de licencia pagada de estudios deberá efectuarse en forma regular, adecuada y de acuerdo con la práctica nacional.</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7" w:name="A8"/>
      <w:bookmarkEnd w:id="7"/>
      <w:r w:rsidRPr="00B41F95">
        <w:rPr>
          <w:rFonts w:ascii="Georgia" w:hAnsi="Georgia" w:cs="Arial"/>
          <w:i/>
          <w:iCs/>
          <w:color w:val="333333"/>
          <w:sz w:val="21"/>
          <w:szCs w:val="21"/>
          <w:lang w:val="es-ES"/>
        </w:rPr>
        <w:t>Artículo 8</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 licencia pagada de estudios no deberá negarse a los trabajadores por motivos de raza, color, sexo, religión, opinión política, ascendencia nacional u origen social.</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 w:name="A9"/>
      <w:bookmarkEnd w:id="8"/>
      <w:r w:rsidRPr="00B41F95">
        <w:rPr>
          <w:rFonts w:ascii="Georgia" w:hAnsi="Georgia" w:cs="Arial"/>
          <w:i/>
          <w:iCs/>
          <w:color w:val="333333"/>
          <w:sz w:val="21"/>
          <w:szCs w:val="21"/>
          <w:lang w:val="es-ES"/>
        </w:rPr>
        <w:t>Artículo 9</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Cuando sea necesario, deberán establecerse disposiciones especiales sobre la licencia pagada de estudios:</w:t>
      </w:r>
    </w:p>
    <w:p w:rsidR="00B41F95" w:rsidRPr="00B41F95" w:rsidRDefault="00B41F95" w:rsidP="00B41F95">
      <w:pPr>
        <w:numPr>
          <w:ilvl w:val="0"/>
          <w:numId w:val="30"/>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(a) en los casos en que categorías particulares de trabajadores, tales como los trabajadores de pequeñas empresas, los trabajadores rurales y otros que habiten en zonas aisladas, los trabajadores por turnos o los trabajadores con responsabilidades familiares, tengan dificultad para ajustarse al sistema general;</w:t>
      </w:r>
    </w:p>
    <w:p w:rsidR="00B41F95" w:rsidRPr="00B41F95" w:rsidRDefault="00B41F95" w:rsidP="00B41F95">
      <w:pPr>
        <w:numPr>
          <w:ilvl w:val="0"/>
          <w:numId w:val="30"/>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lastRenderedPageBreak/>
        <w:t>(b) en los casos en que categorías particulares de empresas, como las empresas pequeñas o las empresas estacionales, tengan dificultad para ajustarse al sistema general, en la inteligencia de que los trabajadores ocupados en estas empresas no serán privados del beneficio de la licencia pagada de estudios.</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 w:name="A10"/>
      <w:bookmarkEnd w:id="9"/>
      <w:r w:rsidRPr="00B41F95">
        <w:rPr>
          <w:rFonts w:ascii="Georgia" w:hAnsi="Georgia" w:cs="Arial"/>
          <w:i/>
          <w:iCs/>
          <w:color w:val="333333"/>
          <w:sz w:val="21"/>
          <w:szCs w:val="21"/>
          <w:lang w:val="es-ES"/>
        </w:rPr>
        <w:t>Artículo 10</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Las condiciones de elegibilidad de los trabajadores para beneficiarse de la licencia pagada de estudios podrán variar según que la licencia pagada de estudios tenga por objeto:</w:t>
      </w:r>
    </w:p>
    <w:p w:rsidR="00B41F95" w:rsidRPr="00B41F95" w:rsidRDefault="00B41F95" w:rsidP="00B41F95">
      <w:pPr>
        <w:numPr>
          <w:ilvl w:val="0"/>
          <w:numId w:val="31"/>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(a) la formación profesional a todos los niveles;</w:t>
      </w:r>
    </w:p>
    <w:p w:rsidR="00B41F95" w:rsidRPr="00B41F95" w:rsidRDefault="00B41F95" w:rsidP="00B41F95">
      <w:pPr>
        <w:numPr>
          <w:ilvl w:val="0"/>
          <w:numId w:val="31"/>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(b) la educación general, social o cívica;</w:t>
      </w:r>
    </w:p>
    <w:p w:rsidR="00B41F95" w:rsidRDefault="00B41F95" w:rsidP="00B41F95">
      <w:pPr>
        <w:numPr>
          <w:ilvl w:val="0"/>
          <w:numId w:val="31"/>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(c) la educación sindical.</w:t>
      </w:r>
    </w:p>
    <w:p w:rsid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0" w:name="A11"/>
      <w:bookmarkEnd w:id="10"/>
      <w:r>
        <w:rPr>
          <w:rFonts w:ascii="Georgia" w:hAnsi="Georgia" w:cs="Arial"/>
          <w:i/>
          <w:iCs/>
          <w:color w:val="333333"/>
          <w:sz w:val="21"/>
          <w:szCs w:val="21"/>
        </w:rPr>
        <w:t>Artículo 11</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El período de la licencia pagada de estudios deberá asimilarse a un período de trabajo efectivo a efectos de determinar los derechos a prestaciones sociales y otros derechos que se deriven de la relación de empleo con arreglo a lo previsto por la legislación nacional, los contratos colectivos, los laudos arbitrales o cualquier otro método compatible con la práctica nacional.</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12"/>
      <w:bookmarkEnd w:id="11"/>
      <w:r w:rsidRPr="00B41F95">
        <w:rPr>
          <w:rFonts w:ascii="Georgia" w:hAnsi="Georgia" w:cs="Arial"/>
          <w:i/>
          <w:iCs/>
          <w:color w:val="333333"/>
          <w:sz w:val="21"/>
          <w:szCs w:val="21"/>
          <w:lang w:val="es-ES"/>
        </w:rPr>
        <w:t>Artículo 12</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2" w:name="A13"/>
      <w:bookmarkEnd w:id="12"/>
      <w:r>
        <w:rPr>
          <w:rFonts w:ascii="Georgia" w:hAnsi="Georgia" w:cs="Arial"/>
          <w:i/>
          <w:iCs/>
          <w:color w:val="333333"/>
          <w:sz w:val="21"/>
          <w:szCs w:val="21"/>
        </w:rPr>
        <w:t>Artículo 13</w:t>
      </w:r>
    </w:p>
    <w:p w:rsidR="00B41F95" w:rsidRPr="00B41F95" w:rsidRDefault="00B41F95" w:rsidP="00B41F95">
      <w:pPr>
        <w:numPr>
          <w:ilvl w:val="0"/>
          <w:numId w:val="32"/>
        </w:numPr>
        <w:shd w:val="clear" w:color="auto" w:fill="FFFFFF"/>
        <w:spacing w:after="144" w:line="408" w:lineRule="atLeast"/>
        <w:ind w:left="0"/>
        <w:rPr>
          <w:rFonts w:ascii="Georgia" w:hAnsi="Georgia" w:cs="Arial"/>
          <w:color w:val="333333"/>
          <w:sz w:val="18"/>
          <w:szCs w:val="18"/>
          <w:lang w:val="es-ES"/>
        </w:rPr>
      </w:pPr>
      <w:bookmarkStart w:id="13" w:name="A13P1"/>
      <w:bookmarkEnd w:id="13"/>
      <w:r w:rsidRPr="00B41F95">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B41F95" w:rsidRPr="00B41F95" w:rsidRDefault="00B41F95" w:rsidP="00B41F95">
      <w:pPr>
        <w:numPr>
          <w:ilvl w:val="0"/>
          <w:numId w:val="32"/>
        </w:numPr>
        <w:shd w:val="clear" w:color="auto" w:fill="FFFFFF"/>
        <w:spacing w:after="144" w:line="408" w:lineRule="atLeast"/>
        <w:ind w:left="0"/>
        <w:rPr>
          <w:rFonts w:ascii="Georgia" w:hAnsi="Georgia" w:cs="Arial"/>
          <w:color w:val="333333"/>
          <w:sz w:val="18"/>
          <w:szCs w:val="18"/>
          <w:lang w:val="es-ES"/>
        </w:rPr>
      </w:pPr>
      <w:bookmarkStart w:id="14" w:name="A13P2"/>
      <w:bookmarkEnd w:id="14"/>
      <w:r w:rsidRPr="00B41F95">
        <w:rPr>
          <w:rFonts w:ascii="Georgia" w:hAnsi="Georgia" w:cs="Arial"/>
          <w:color w:val="333333"/>
          <w:sz w:val="18"/>
          <w:szCs w:val="18"/>
          <w:lang w:val="es-ES"/>
        </w:rPr>
        <w:t>2. Entrará en vigor doce meses después de la fecha en que las ratificaciones de dos Miembros hayan sido registradas por el Director General.</w:t>
      </w:r>
    </w:p>
    <w:p w:rsidR="00B41F95" w:rsidRPr="00B41F95" w:rsidRDefault="00B41F95" w:rsidP="00B41F95">
      <w:pPr>
        <w:numPr>
          <w:ilvl w:val="0"/>
          <w:numId w:val="32"/>
        </w:numPr>
        <w:shd w:val="clear" w:color="auto" w:fill="FFFFFF"/>
        <w:spacing w:after="144" w:line="408" w:lineRule="atLeast"/>
        <w:ind w:left="0"/>
        <w:rPr>
          <w:rFonts w:ascii="Georgia" w:hAnsi="Georgia" w:cs="Arial"/>
          <w:color w:val="333333"/>
          <w:sz w:val="18"/>
          <w:szCs w:val="18"/>
          <w:lang w:val="es-ES"/>
        </w:rPr>
      </w:pPr>
      <w:bookmarkStart w:id="15" w:name="A13P3"/>
      <w:bookmarkEnd w:id="15"/>
      <w:r w:rsidRPr="00B41F95">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6" w:name="A14"/>
      <w:bookmarkEnd w:id="16"/>
      <w:r>
        <w:rPr>
          <w:rFonts w:ascii="Georgia" w:hAnsi="Georgia" w:cs="Arial"/>
          <w:i/>
          <w:iCs/>
          <w:color w:val="333333"/>
          <w:sz w:val="21"/>
          <w:szCs w:val="21"/>
        </w:rPr>
        <w:t>Artículo 14</w:t>
      </w:r>
    </w:p>
    <w:p w:rsidR="00B41F95" w:rsidRPr="00B41F95" w:rsidRDefault="00B41F95" w:rsidP="00B41F95">
      <w:pPr>
        <w:numPr>
          <w:ilvl w:val="0"/>
          <w:numId w:val="33"/>
        </w:numPr>
        <w:shd w:val="clear" w:color="auto" w:fill="FFFFFF"/>
        <w:spacing w:after="144" w:line="408" w:lineRule="atLeast"/>
        <w:ind w:left="0"/>
        <w:rPr>
          <w:rFonts w:ascii="Georgia" w:hAnsi="Georgia" w:cs="Arial"/>
          <w:color w:val="333333"/>
          <w:sz w:val="18"/>
          <w:szCs w:val="18"/>
          <w:lang w:val="es-ES"/>
        </w:rPr>
      </w:pPr>
      <w:bookmarkStart w:id="17" w:name="A14P1"/>
      <w:bookmarkEnd w:id="17"/>
      <w:r w:rsidRPr="00B41F95">
        <w:rPr>
          <w:rFonts w:ascii="Georgia" w:hAnsi="Georgia" w:cs="Arial"/>
          <w:color w:val="333333"/>
          <w:sz w:val="18"/>
          <w:szCs w:val="18"/>
          <w:lang w:val="es-ES"/>
        </w:rPr>
        <w:t xml:space="preserve">1. Todo Miembro que haya ratificado este Convenio podrá denunciarlo a la expiración de un período de diez años, a partir de la fecha en que se haya puesto inicialmente en vigor, mediante un acta comunicada, para su registro, al </w:t>
      </w:r>
      <w:r w:rsidRPr="00B41F95">
        <w:rPr>
          <w:rFonts w:ascii="Georgia" w:hAnsi="Georgia" w:cs="Arial"/>
          <w:color w:val="333333"/>
          <w:sz w:val="18"/>
          <w:szCs w:val="18"/>
          <w:lang w:val="es-ES"/>
        </w:rPr>
        <w:lastRenderedPageBreak/>
        <w:t>Director General de la Oficina Internacional del Trabajo. La denuncia no surtirá efecto hasta un año después de la fecha en que se haya registrado.</w:t>
      </w:r>
    </w:p>
    <w:p w:rsidR="00B41F95" w:rsidRPr="00B41F95" w:rsidRDefault="00B41F95" w:rsidP="00B41F95">
      <w:pPr>
        <w:numPr>
          <w:ilvl w:val="0"/>
          <w:numId w:val="33"/>
        </w:numPr>
        <w:shd w:val="clear" w:color="auto" w:fill="FFFFFF"/>
        <w:spacing w:after="144" w:line="408" w:lineRule="atLeast"/>
        <w:ind w:left="0"/>
        <w:rPr>
          <w:rFonts w:ascii="Georgia" w:hAnsi="Georgia" w:cs="Arial"/>
          <w:color w:val="333333"/>
          <w:sz w:val="18"/>
          <w:szCs w:val="18"/>
          <w:lang w:val="es-ES"/>
        </w:rPr>
      </w:pPr>
      <w:bookmarkStart w:id="18" w:name="A14P2"/>
      <w:bookmarkEnd w:id="18"/>
      <w:r w:rsidRPr="00B41F95">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9" w:name="A15"/>
      <w:bookmarkEnd w:id="19"/>
      <w:r>
        <w:rPr>
          <w:rFonts w:ascii="Georgia" w:hAnsi="Georgia" w:cs="Arial"/>
          <w:i/>
          <w:iCs/>
          <w:color w:val="333333"/>
          <w:sz w:val="21"/>
          <w:szCs w:val="21"/>
        </w:rPr>
        <w:t>Artículo 15</w:t>
      </w:r>
    </w:p>
    <w:p w:rsidR="00B41F95" w:rsidRPr="00B41F95" w:rsidRDefault="00B41F95" w:rsidP="00B41F95">
      <w:pPr>
        <w:numPr>
          <w:ilvl w:val="0"/>
          <w:numId w:val="34"/>
        </w:numPr>
        <w:shd w:val="clear" w:color="auto" w:fill="FFFFFF"/>
        <w:spacing w:after="144" w:line="408" w:lineRule="atLeast"/>
        <w:ind w:left="0"/>
        <w:rPr>
          <w:rFonts w:ascii="Georgia" w:hAnsi="Georgia" w:cs="Arial"/>
          <w:color w:val="333333"/>
          <w:sz w:val="18"/>
          <w:szCs w:val="18"/>
          <w:lang w:val="es-ES"/>
        </w:rPr>
      </w:pPr>
      <w:bookmarkStart w:id="20" w:name="A15P1"/>
      <w:bookmarkEnd w:id="20"/>
      <w:r w:rsidRPr="00B41F95">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B41F95" w:rsidRPr="00B41F95" w:rsidRDefault="00B41F95" w:rsidP="00B41F95">
      <w:pPr>
        <w:numPr>
          <w:ilvl w:val="0"/>
          <w:numId w:val="34"/>
        </w:numPr>
        <w:shd w:val="clear" w:color="auto" w:fill="FFFFFF"/>
        <w:spacing w:after="144" w:line="408" w:lineRule="atLeast"/>
        <w:ind w:left="0"/>
        <w:rPr>
          <w:rFonts w:ascii="Georgia" w:hAnsi="Georgia" w:cs="Arial"/>
          <w:color w:val="333333"/>
          <w:sz w:val="18"/>
          <w:szCs w:val="18"/>
          <w:lang w:val="es-ES"/>
        </w:rPr>
      </w:pPr>
      <w:bookmarkStart w:id="21" w:name="A15P2"/>
      <w:bookmarkEnd w:id="21"/>
      <w:r w:rsidRPr="00B41F95">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2" w:name="A16"/>
      <w:bookmarkEnd w:id="22"/>
      <w:r w:rsidRPr="00B41F95">
        <w:rPr>
          <w:rFonts w:ascii="Georgia" w:hAnsi="Georgia" w:cs="Arial"/>
          <w:i/>
          <w:iCs/>
          <w:color w:val="333333"/>
          <w:sz w:val="21"/>
          <w:szCs w:val="21"/>
          <w:lang w:val="es-ES"/>
        </w:rPr>
        <w:t>Artículo 16</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3" w:name="A17"/>
      <w:bookmarkEnd w:id="23"/>
      <w:r w:rsidRPr="00B41F95">
        <w:rPr>
          <w:rFonts w:ascii="Georgia" w:hAnsi="Georgia" w:cs="Arial"/>
          <w:i/>
          <w:iCs/>
          <w:color w:val="333333"/>
          <w:sz w:val="21"/>
          <w:szCs w:val="21"/>
          <w:lang w:val="es-ES"/>
        </w:rPr>
        <w:t>Artículo 17</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4" w:name="A18"/>
      <w:bookmarkEnd w:id="24"/>
      <w:r>
        <w:rPr>
          <w:rFonts w:ascii="Georgia" w:hAnsi="Georgia" w:cs="Arial"/>
          <w:i/>
          <w:iCs/>
          <w:color w:val="333333"/>
          <w:sz w:val="21"/>
          <w:szCs w:val="21"/>
        </w:rPr>
        <w:t>Artículo 18</w:t>
      </w:r>
    </w:p>
    <w:p w:rsidR="00B41F95" w:rsidRPr="00B41F95" w:rsidRDefault="00B41F95" w:rsidP="00B41F95">
      <w:pPr>
        <w:numPr>
          <w:ilvl w:val="0"/>
          <w:numId w:val="35"/>
        </w:numPr>
        <w:shd w:val="clear" w:color="auto" w:fill="FFFFFF"/>
        <w:spacing w:after="144" w:line="408" w:lineRule="atLeast"/>
        <w:ind w:left="0"/>
        <w:rPr>
          <w:rFonts w:ascii="Georgia" w:hAnsi="Georgia" w:cs="Arial"/>
          <w:color w:val="333333"/>
          <w:sz w:val="18"/>
          <w:szCs w:val="18"/>
          <w:lang w:val="es-ES"/>
        </w:rPr>
      </w:pPr>
      <w:bookmarkStart w:id="25" w:name="A18P1"/>
      <w:bookmarkEnd w:id="25"/>
      <w:r w:rsidRPr="00B41F95">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B41F95" w:rsidRPr="00B41F95" w:rsidRDefault="00B41F95" w:rsidP="00B41F95">
      <w:pPr>
        <w:numPr>
          <w:ilvl w:val="1"/>
          <w:numId w:val="35"/>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14, siempre que el nuevo convenio revisor haya entrado en vigor;</w:t>
      </w:r>
    </w:p>
    <w:p w:rsidR="00B41F95" w:rsidRPr="00B41F95" w:rsidRDefault="00B41F95" w:rsidP="00B41F95">
      <w:pPr>
        <w:numPr>
          <w:ilvl w:val="1"/>
          <w:numId w:val="35"/>
        </w:numPr>
        <w:shd w:val="clear" w:color="auto" w:fill="FFFFFF"/>
        <w:spacing w:after="144" w:line="408" w:lineRule="atLeast"/>
        <w:ind w:left="480"/>
        <w:rPr>
          <w:rFonts w:ascii="Georgia" w:hAnsi="Georgia" w:cs="Arial"/>
          <w:color w:val="333333"/>
          <w:sz w:val="18"/>
          <w:szCs w:val="18"/>
          <w:lang w:val="es-ES"/>
        </w:rPr>
      </w:pPr>
      <w:r w:rsidRPr="00B41F95">
        <w:rPr>
          <w:rFonts w:ascii="Georgia" w:hAnsi="Georgia" w:cs="Arial"/>
          <w:color w:val="333333"/>
          <w:sz w:val="18"/>
          <w:szCs w:val="18"/>
          <w:lang w:val="es-ES"/>
        </w:rPr>
        <w:lastRenderedPageBreak/>
        <w:t>(b) a partir de la fecha en que entre en vigor el nuevo convenio revisor, el presente Convenio cesará de estar abierto a la ratificación por los Miembros.</w:t>
      </w:r>
    </w:p>
    <w:p w:rsidR="00B41F95" w:rsidRPr="00B41F95" w:rsidRDefault="00B41F95" w:rsidP="00B41F95">
      <w:pPr>
        <w:numPr>
          <w:ilvl w:val="0"/>
          <w:numId w:val="35"/>
        </w:numPr>
        <w:shd w:val="clear" w:color="auto" w:fill="FFFFFF"/>
        <w:spacing w:after="144" w:line="408" w:lineRule="atLeast"/>
        <w:ind w:left="0"/>
        <w:rPr>
          <w:rFonts w:ascii="Georgia" w:hAnsi="Georgia" w:cs="Arial"/>
          <w:color w:val="333333"/>
          <w:sz w:val="18"/>
          <w:szCs w:val="18"/>
          <w:lang w:val="es-ES"/>
        </w:rPr>
      </w:pPr>
      <w:bookmarkStart w:id="26" w:name="A18P2"/>
      <w:bookmarkEnd w:id="26"/>
      <w:r w:rsidRPr="00B41F95">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B41F95" w:rsidRPr="00B41F95" w:rsidRDefault="00B41F95" w:rsidP="00B41F95">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7" w:name="A19"/>
      <w:bookmarkEnd w:id="27"/>
      <w:r w:rsidRPr="00B41F95">
        <w:rPr>
          <w:rFonts w:ascii="Georgia" w:hAnsi="Georgia" w:cs="Arial"/>
          <w:i/>
          <w:iCs/>
          <w:color w:val="333333"/>
          <w:sz w:val="21"/>
          <w:szCs w:val="21"/>
          <w:lang w:val="es-ES"/>
        </w:rPr>
        <w:t>Artículo 19</w:t>
      </w:r>
    </w:p>
    <w:p w:rsidR="00B41F95" w:rsidRPr="00B41F95" w:rsidRDefault="00B41F95" w:rsidP="00B41F95">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41F95">
        <w:rPr>
          <w:rFonts w:ascii="Georgia" w:hAnsi="Georgia" w:cs="Arial"/>
          <w:color w:val="333333"/>
          <w:sz w:val="18"/>
          <w:szCs w:val="18"/>
          <w:lang w:val="es-ES"/>
        </w:rPr>
        <w:t>Las versiones inglesa y francesa del texto de este Convenio son igualmente auténticas.</w:t>
      </w:r>
    </w:p>
    <w:p w:rsidR="0069165A" w:rsidRPr="00B41F95" w:rsidRDefault="0069165A" w:rsidP="00B41F95">
      <w:pPr>
        <w:rPr>
          <w:lang w:val="es-ES"/>
        </w:rPr>
      </w:pPr>
    </w:p>
    <w:sectPr w:rsidR="0069165A" w:rsidRPr="00B41F95"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FB" w:rsidRDefault="008A1BFB" w:rsidP="00CA3249">
      <w:r>
        <w:separator/>
      </w:r>
    </w:p>
  </w:endnote>
  <w:endnote w:type="continuationSeparator" w:id="0">
    <w:p w:rsidR="008A1BFB" w:rsidRDefault="008A1BFB"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F8" w:rsidRDefault="006A7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F8" w:rsidRDefault="006A7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F8" w:rsidRDefault="006A7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FB" w:rsidRDefault="008A1BFB" w:rsidP="00CA3249">
      <w:r>
        <w:separator/>
      </w:r>
    </w:p>
  </w:footnote>
  <w:footnote w:type="continuationSeparator" w:id="0">
    <w:p w:rsidR="008A1BFB" w:rsidRDefault="008A1BFB"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F8" w:rsidRDefault="006A7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F8" w:rsidRDefault="006A7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51"/>
    <w:multiLevelType w:val="multilevel"/>
    <w:tmpl w:val="16A2C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82074"/>
    <w:multiLevelType w:val="multilevel"/>
    <w:tmpl w:val="965CAB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80555"/>
    <w:multiLevelType w:val="multilevel"/>
    <w:tmpl w:val="74B00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B1F25"/>
    <w:multiLevelType w:val="multilevel"/>
    <w:tmpl w:val="0302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3176F"/>
    <w:multiLevelType w:val="multilevel"/>
    <w:tmpl w:val="6ED69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455A6"/>
    <w:multiLevelType w:val="multilevel"/>
    <w:tmpl w:val="069AB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E37C0"/>
    <w:multiLevelType w:val="multilevel"/>
    <w:tmpl w:val="08AAC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D77EE"/>
    <w:multiLevelType w:val="multilevel"/>
    <w:tmpl w:val="57DAC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8077E"/>
    <w:multiLevelType w:val="multilevel"/>
    <w:tmpl w:val="3F749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B5F5B"/>
    <w:multiLevelType w:val="multilevel"/>
    <w:tmpl w:val="E9EE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40ACE"/>
    <w:multiLevelType w:val="multilevel"/>
    <w:tmpl w:val="43B4B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F39CA"/>
    <w:multiLevelType w:val="multilevel"/>
    <w:tmpl w:val="89A05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86027"/>
    <w:multiLevelType w:val="multilevel"/>
    <w:tmpl w:val="2AF45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D17D6"/>
    <w:multiLevelType w:val="multilevel"/>
    <w:tmpl w:val="6A70E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2775D"/>
    <w:multiLevelType w:val="multilevel"/>
    <w:tmpl w:val="E774E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55051"/>
    <w:multiLevelType w:val="multilevel"/>
    <w:tmpl w:val="166A5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81BD8"/>
    <w:multiLevelType w:val="multilevel"/>
    <w:tmpl w:val="D67A9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0A23D6"/>
    <w:multiLevelType w:val="multilevel"/>
    <w:tmpl w:val="FD3EF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46CA5"/>
    <w:multiLevelType w:val="multilevel"/>
    <w:tmpl w:val="8A94B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610AB"/>
    <w:multiLevelType w:val="multilevel"/>
    <w:tmpl w:val="4B6CE7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80145"/>
    <w:multiLevelType w:val="multilevel"/>
    <w:tmpl w:val="AE185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95852"/>
    <w:multiLevelType w:val="multilevel"/>
    <w:tmpl w:val="28FEF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04975"/>
    <w:multiLevelType w:val="multilevel"/>
    <w:tmpl w:val="9E3CD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B3275"/>
    <w:multiLevelType w:val="multilevel"/>
    <w:tmpl w:val="E4CE5C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04E7E"/>
    <w:multiLevelType w:val="multilevel"/>
    <w:tmpl w:val="1F009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361BD"/>
    <w:multiLevelType w:val="multilevel"/>
    <w:tmpl w:val="9F32F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7E1B04"/>
    <w:multiLevelType w:val="multilevel"/>
    <w:tmpl w:val="4D0C3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078E7"/>
    <w:multiLevelType w:val="multilevel"/>
    <w:tmpl w:val="F9328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D94CEC"/>
    <w:multiLevelType w:val="multilevel"/>
    <w:tmpl w:val="683E8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A90AB1"/>
    <w:multiLevelType w:val="multilevel"/>
    <w:tmpl w:val="8E840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E56D11"/>
    <w:multiLevelType w:val="multilevel"/>
    <w:tmpl w:val="06321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020DD"/>
    <w:multiLevelType w:val="multilevel"/>
    <w:tmpl w:val="CE2C0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53707"/>
    <w:multiLevelType w:val="multilevel"/>
    <w:tmpl w:val="8C587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0A5972"/>
    <w:multiLevelType w:val="multilevel"/>
    <w:tmpl w:val="74625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D13BDA"/>
    <w:multiLevelType w:val="multilevel"/>
    <w:tmpl w:val="BDD07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3"/>
  </w:num>
  <w:num w:numId="4">
    <w:abstractNumId w:val="11"/>
  </w:num>
  <w:num w:numId="5">
    <w:abstractNumId w:val="1"/>
  </w:num>
  <w:num w:numId="6">
    <w:abstractNumId w:val="7"/>
  </w:num>
  <w:num w:numId="7">
    <w:abstractNumId w:val="15"/>
  </w:num>
  <w:num w:numId="8">
    <w:abstractNumId w:val="22"/>
  </w:num>
  <w:num w:numId="9">
    <w:abstractNumId w:val="30"/>
  </w:num>
  <w:num w:numId="10">
    <w:abstractNumId w:val="16"/>
  </w:num>
  <w:num w:numId="11">
    <w:abstractNumId w:val="33"/>
  </w:num>
  <w:num w:numId="12">
    <w:abstractNumId w:val="14"/>
  </w:num>
  <w:num w:numId="13">
    <w:abstractNumId w:val="9"/>
  </w:num>
  <w:num w:numId="14">
    <w:abstractNumId w:val="23"/>
  </w:num>
  <w:num w:numId="15">
    <w:abstractNumId w:val="26"/>
  </w:num>
  <w:num w:numId="16">
    <w:abstractNumId w:val="19"/>
  </w:num>
  <w:num w:numId="17">
    <w:abstractNumId w:val="32"/>
  </w:num>
  <w:num w:numId="18">
    <w:abstractNumId w:val="0"/>
  </w:num>
  <w:num w:numId="19">
    <w:abstractNumId w:val="24"/>
  </w:num>
  <w:num w:numId="20">
    <w:abstractNumId w:val="31"/>
  </w:num>
  <w:num w:numId="21">
    <w:abstractNumId w:val="18"/>
  </w:num>
  <w:num w:numId="22">
    <w:abstractNumId w:val="34"/>
  </w:num>
  <w:num w:numId="23">
    <w:abstractNumId w:val="27"/>
  </w:num>
  <w:num w:numId="24">
    <w:abstractNumId w:val="20"/>
  </w:num>
  <w:num w:numId="25">
    <w:abstractNumId w:val="2"/>
  </w:num>
  <w:num w:numId="26">
    <w:abstractNumId w:val="13"/>
  </w:num>
  <w:num w:numId="27">
    <w:abstractNumId w:val="6"/>
  </w:num>
  <w:num w:numId="28">
    <w:abstractNumId w:val="5"/>
  </w:num>
  <w:num w:numId="29">
    <w:abstractNumId w:val="28"/>
  </w:num>
  <w:num w:numId="30">
    <w:abstractNumId w:val="25"/>
  </w:num>
  <w:num w:numId="31">
    <w:abstractNumId w:val="4"/>
  </w:num>
  <w:num w:numId="32">
    <w:abstractNumId w:val="17"/>
  </w:num>
  <w:num w:numId="33">
    <w:abstractNumId w:val="12"/>
  </w:num>
  <w:num w:numId="34">
    <w:abstractNumId w:val="8"/>
  </w:num>
  <w:num w:numId="35">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51678"/>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A75F8"/>
    <w:rsid w:val="006B2FDB"/>
    <w:rsid w:val="006D2694"/>
    <w:rsid w:val="00711926"/>
    <w:rsid w:val="00746A2C"/>
    <w:rsid w:val="00771CDB"/>
    <w:rsid w:val="007C1AAD"/>
    <w:rsid w:val="007E280B"/>
    <w:rsid w:val="00816A42"/>
    <w:rsid w:val="00852CE1"/>
    <w:rsid w:val="00870DF9"/>
    <w:rsid w:val="00871796"/>
    <w:rsid w:val="0087706E"/>
    <w:rsid w:val="008A1BFB"/>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EA5D-97BC-48A4-9B58-4798A22C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2012-11-27T22:02:00Z</dcterms:created>
  <dcterms:modified xsi:type="dcterms:W3CDTF">2012-11-28T01:36:00Z</dcterms:modified>
</cp:coreProperties>
</file>